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E7" w:rsidRPr="00F85FCA" w:rsidRDefault="00A66E11">
      <w:pPr>
        <w:rPr>
          <w:szCs w:val="24"/>
        </w:rPr>
      </w:pPr>
      <w:r w:rsidRPr="00F85FCA">
        <w:rPr>
          <w:noProof/>
          <w:szCs w:val="24"/>
        </w:rPr>
        <w:drawing>
          <wp:inline distT="0" distB="0" distL="0" distR="0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FCA">
        <w:rPr>
          <w:szCs w:val="24"/>
        </w:rPr>
        <w:br/>
      </w:r>
    </w:p>
    <w:p w:rsidR="00CA41E7" w:rsidRPr="00F85FCA" w:rsidRDefault="00CA542A">
      <w:pPr>
        <w:rPr>
          <w:szCs w:val="24"/>
        </w:rPr>
      </w:pPr>
      <w:r>
        <w:rPr>
          <w:szCs w:val="24"/>
        </w:rPr>
        <w:t>July 19</w:t>
      </w:r>
      <w:r w:rsidR="00652E80">
        <w:rPr>
          <w:szCs w:val="24"/>
        </w:rPr>
        <w:t xml:space="preserve">, </w:t>
      </w:r>
      <w:r w:rsidR="005C0AE8" w:rsidRPr="00F85FCA">
        <w:rPr>
          <w:szCs w:val="24"/>
        </w:rPr>
        <w:t>2019</w:t>
      </w:r>
      <w:r w:rsidR="00A66E11" w:rsidRPr="00F85FCA">
        <w:rPr>
          <w:szCs w:val="24"/>
        </w:rPr>
        <w:br/>
      </w:r>
    </w:p>
    <w:p w:rsidR="00CA41E7" w:rsidRPr="00F85FCA" w:rsidRDefault="00CA41E7">
      <w:pPr>
        <w:rPr>
          <w:szCs w:val="24"/>
        </w:rPr>
      </w:pPr>
    </w:p>
    <w:p w:rsidR="00CA41E7" w:rsidRPr="00F85FCA" w:rsidRDefault="00A66E11">
      <w:pPr>
        <w:tabs>
          <w:tab w:val="left" w:pos="1080"/>
        </w:tabs>
        <w:spacing w:line="360" w:lineRule="auto"/>
        <w:rPr>
          <w:szCs w:val="24"/>
        </w:rPr>
      </w:pPr>
      <w:r w:rsidRPr="00F85FCA">
        <w:rPr>
          <w:b/>
          <w:szCs w:val="24"/>
        </w:rPr>
        <w:t>TO:</w:t>
      </w:r>
      <w:r w:rsidRPr="00F85FCA">
        <w:rPr>
          <w:szCs w:val="24"/>
        </w:rPr>
        <w:tab/>
      </w:r>
      <w:r w:rsidR="00AD4C4D">
        <w:rPr>
          <w:szCs w:val="24"/>
        </w:rPr>
        <w:t>J</w:t>
      </w:r>
      <w:r w:rsidR="00994A5D">
        <w:rPr>
          <w:szCs w:val="24"/>
        </w:rPr>
        <w:t>udicial and Legal Communities</w:t>
      </w:r>
    </w:p>
    <w:p w:rsidR="00CA41E7" w:rsidRPr="00F85FCA" w:rsidRDefault="00A66E11">
      <w:pPr>
        <w:tabs>
          <w:tab w:val="left" w:pos="1080"/>
        </w:tabs>
        <w:spacing w:line="360" w:lineRule="auto"/>
        <w:rPr>
          <w:szCs w:val="24"/>
        </w:rPr>
      </w:pPr>
      <w:r w:rsidRPr="00F85FCA">
        <w:rPr>
          <w:b/>
          <w:szCs w:val="24"/>
        </w:rPr>
        <w:t>FROM:</w:t>
      </w:r>
      <w:r w:rsidRPr="00F85FCA">
        <w:rPr>
          <w:b/>
          <w:szCs w:val="24"/>
        </w:rPr>
        <w:tab/>
      </w:r>
      <w:r w:rsidRPr="00F85FCA">
        <w:rPr>
          <w:szCs w:val="24"/>
        </w:rPr>
        <w:t>Merrie Gough, AOC Sr. Legal Analyst</w:t>
      </w:r>
    </w:p>
    <w:p w:rsidR="00CA41E7" w:rsidRPr="00F85FCA" w:rsidRDefault="00A66E11">
      <w:pPr>
        <w:tabs>
          <w:tab w:val="left" w:pos="1080"/>
        </w:tabs>
        <w:ind w:left="1080" w:hanging="1080"/>
        <w:rPr>
          <w:szCs w:val="24"/>
        </w:rPr>
      </w:pPr>
      <w:r w:rsidRPr="00F85FCA">
        <w:rPr>
          <w:b/>
          <w:szCs w:val="24"/>
        </w:rPr>
        <w:t>RE:</w:t>
      </w:r>
      <w:r w:rsidRPr="00F85FCA">
        <w:rPr>
          <w:szCs w:val="24"/>
        </w:rPr>
        <w:tab/>
      </w:r>
      <w:r w:rsidR="00570EA1">
        <w:rPr>
          <w:szCs w:val="24"/>
        </w:rPr>
        <w:t xml:space="preserve">2019 </w:t>
      </w:r>
      <w:r w:rsidR="00652E80">
        <w:rPr>
          <w:szCs w:val="24"/>
        </w:rPr>
        <w:t>Amendments</w:t>
      </w:r>
      <w:r w:rsidR="00890624" w:rsidRPr="00F85FCA">
        <w:rPr>
          <w:szCs w:val="24"/>
        </w:rPr>
        <w:t xml:space="preserve"> to the</w:t>
      </w:r>
      <w:r w:rsidR="004064DA" w:rsidRPr="00F85FCA">
        <w:rPr>
          <w:szCs w:val="24"/>
        </w:rPr>
        <w:t xml:space="preserve"> </w:t>
      </w:r>
      <w:proofErr w:type="spellStart"/>
      <w:r w:rsidR="004064DA" w:rsidRPr="00F85FCA">
        <w:rPr>
          <w:szCs w:val="24"/>
        </w:rPr>
        <w:t>CrRLJ</w:t>
      </w:r>
      <w:proofErr w:type="spellEnd"/>
      <w:r w:rsidR="004064DA" w:rsidRPr="00F85FCA">
        <w:rPr>
          <w:szCs w:val="24"/>
        </w:rPr>
        <w:t xml:space="preserve"> 4.2(g) </w:t>
      </w:r>
      <w:r w:rsidR="00966A31">
        <w:rPr>
          <w:szCs w:val="24"/>
        </w:rPr>
        <w:t>Statement of Defendant on Plea of Guilty</w:t>
      </w:r>
      <w:r w:rsidR="004064DA" w:rsidRPr="00F85FCA">
        <w:rPr>
          <w:szCs w:val="24"/>
        </w:rPr>
        <w:t xml:space="preserve"> </w:t>
      </w:r>
    </w:p>
    <w:p w:rsidR="00CA41E7" w:rsidRPr="00F85FCA" w:rsidRDefault="00CA41E7">
      <w:pPr>
        <w:tabs>
          <w:tab w:val="left" w:pos="1080"/>
        </w:tabs>
        <w:ind w:left="1080" w:hanging="1080"/>
        <w:rPr>
          <w:szCs w:val="24"/>
        </w:rPr>
      </w:pPr>
    </w:p>
    <w:p w:rsidR="00890624" w:rsidRDefault="00570EA1" w:rsidP="00890624">
      <w:pPr>
        <w:rPr>
          <w:szCs w:val="24"/>
        </w:rPr>
      </w:pPr>
      <w:r>
        <w:rPr>
          <w:szCs w:val="24"/>
        </w:rPr>
        <w:t xml:space="preserve">On July </w:t>
      </w:r>
      <w:r w:rsidR="00B54D64">
        <w:rPr>
          <w:szCs w:val="24"/>
        </w:rPr>
        <w:t>10</w:t>
      </w:r>
      <w:r>
        <w:rPr>
          <w:szCs w:val="24"/>
        </w:rPr>
        <w:t>, 2019, the Washington State Supreme Court adopted amendments to:</w:t>
      </w:r>
    </w:p>
    <w:p w:rsidR="00570EA1" w:rsidRDefault="00570EA1" w:rsidP="00890624">
      <w:pPr>
        <w:rPr>
          <w:szCs w:val="24"/>
        </w:rPr>
      </w:pPr>
    </w:p>
    <w:tbl>
      <w:tblPr>
        <w:tblStyle w:val="TableGrid"/>
        <w:tblW w:w="6750" w:type="dxa"/>
        <w:tblInd w:w="7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4830"/>
      </w:tblGrid>
      <w:tr w:rsidR="00570EA1" w:rsidTr="00570EA1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570EA1" w:rsidRDefault="00570EA1" w:rsidP="004B743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CrRLJ</w:t>
            </w:r>
            <w:proofErr w:type="spellEnd"/>
            <w:r>
              <w:rPr>
                <w:szCs w:val="24"/>
              </w:rPr>
              <w:t xml:space="preserve"> 4.2(g)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570EA1" w:rsidRDefault="00570EA1" w:rsidP="004B7430">
            <w:pPr>
              <w:rPr>
                <w:szCs w:val="24"/>
              </w:rPr>
            </w:pPr>
            <w:r>
              <w:rPr>
                <w:szCs w:val="24"/>
              </w:rPr>
              <w:t>Statement of Defendant on Plea of Guilty</w:t>
            </w:r>
          </w:p>
        </w:tc>
      </w:tr>
    </w:tbl>
    <w:p w:rsidR="00570EA1" w:rsidRDefault="00570EA1" w:rsidP="00890624">
      <w:pPr>
        <w:rPr>
          <w:szCs w:val="24"/>
        </w:rPr>
      </w:pPr>
    </w:p>
    <w:p w:rsidR="00570EA1" w:rsidRDefault="00570EA1" w:rsidP="00570EA1">
      <w:pPr>
        <w:rPr>
          <w:rFonts w:eastAsia="Calibri"/>
          <w:szCs w:val="24"/>
        </w:rPr>
      </w:pPr>
      <w:r>
        <w:rPr>
          <w:rFonts w:eastAsia="Calibri"/>
        </w:rPr>
        <w:t>The amendments become effective when they are published in the Official Advance Sheets, Washington Reports, *** Wn.2d No. ***.  The a</w:t>
      </w:r>
      <w:r w:rsidR="00581574">
        <w:rPr>
          <w:rFonts w:eastAsia="Calibri"/>
        </w:rPr>
        <w:t xml:space="preserve">nticipated publication date is </w:t>
      </w:r>
      <w:bookmarkStart w:id="0" w:name="_GoBack"/>
      <w:bookmarkEnd w:id="0"/>
      <w:r w:rsidR="00581574">
        <w:rPr>
          <w:rFonts w:eastAsia="Calibri"/>
        </w:rPr>
        <w:t>July 30,</w:t>
      </w:r>
      <w:r>
        <w:rPr>
          <w:rFonts w:eastAsia="Calibri"/>
        </w:rPr>
        <w:t xml:space="preserve"> 2019.</w:t>
      </w:r>
    </w:p>
    <w:p w:rsidR="00570EA1" w:rsidRDefault="00570EA1" w:rsidP="00570EA1">
      <w:pPr>
        <w:rPr>
          <w:szCs w:val="24"/>
        </w:rPr>
      </w:pPr>
    </w:p>
    <w:p w:rsidR="00CA41E7" w:rsidRPr="00F85FCA" w:rsidRDefault="00A66E11">
      <w:pPr>
        <w:rPr>
          <w:color w:val="000000" w:themeColor="text1"/>
          <w:szCs w:val="24"/>
        </w:rPr>
      </w:pPr>
      <w:r w:rsidRPr="00F85FCA">
        <w:rPr>
          <w:rFonts w:eastAsia="Calibri"/>
          <w:szCs w:val="24"/>
        </w:rPr>
        <w:t>The</w:t>
      </w:r>
      <w:r w:rsidR="00652E80">
        <w:rPr>
          <w:rFonts w:eastAsia="Calibri"/>
          <w:szCs w:val="24"/>
        </w:rPr>
        <w:t xml:space="preserve"> amendments</w:t>
      </w:r>
      <w:r w:rsidRPr="00F85FCA">
        <w:rPr>
          <w:rFonts w:eastAsia="Calibri"/>
          <w:szCs w:val="24"/>
        </w:rPr>
        <w:t xml:space="preserve"> </w:t>
      </w:r>
      <w:r w:rsidRPr="00F85FCA">
        <w:rPr>
          <w:rFonts w:eastAsia="Calibri"/>
          <w:color w:val="000000" w:themeColor="text1"/>
          <w:szCs w:val="24"/>
        </w:rPr>
        <w:t>implement approved recommended changes and</w:t>
      </w:r>
      <w:r w:rsidRPr="00F85FCA">
        <w:rPr>
          <w:color w:val="000000" w:themeColor="text1"/>
          <w:szCs w:val="24"/>
        </w:rPr>
        <w:t>:</w:t>
      </w:r>
    </w:p>
    <w:p w:rsidR="00CA41E7" w:rsidRPr="00F85FCA" w:rsidRDefault="00CA41E7">
      <w:pPr>
        <w:rPr>
          <w:color w:val="000000" w:themeColor="text1"/>
          <w:szCs w:val="24"/>
        </w:rPr>
      </w:pPr>
    </w:p>
    <w:p w:rsidR="00CA41E7" w:rsidRPr="00F85FCA" w:rsidRDefault="00A66E11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 w:rsidRPr="00F85FCA">
        <w:rPr>
          <w:color w:val="000000" w:themeColor="text1"/>
          <w:szCs w:val="24"/>
        </w:rPr>
        <w:t xml:space="preserve">Laws of </w:t>
      </w:r>
      <w:r w:rsidR="005C0AE8" w:rsidRPr="00F85FCA">
        <w:rPr>
          <w:color w:val="000000" w:themeColor="text1"/>
          <w:szCs w:val="24"/>
        </w:rPr>
        <w:t>2019</w:t>
      </w:r>
      <w:r w:rsidR="00833F1A" w:rsidRPr="00F85FCA">
        <w:rPr>
          <w:color w:val="000000" w:themeColor="text1"/>
          <w:szCs w:val="24"/>
        </w:rPr>
        <w:t xml:space="preserve">, </w:t>
      </w:r>
      <w:proofErr w:type="spellStart"/>
      <w:r w:rsidR="00833F1A" w:rsidRPr="00F85FCA">
        <w:rPr>
          <w:color w:val="000000" w:themeColor="text1"/>
          <w:szCs w:val="24"/>
        </w:rPr>
        <w:t>ch.</w:t>
      </w:r>
      <w:proofErr w:type="spellEnd"/>
      <w:r w:rsidR="00833F1A" w:rsidRPr="00F85FCA">
        <w:rPr>
          <w:color w:val="000000" w:themeColor="text1"/>
          <w:szCs w:val="24"/>
        </w:rPr>
        <w:t xml:space="preserve"> </w:t>
      </w:r>
      <w:r w:rsidR="00F85FCA">
        <w:rPr>
          <w:color w:val="000000" w:themeColor="text1"/>
          <w:szCs w:val="24"/>
        </w:rPr>
        <w:t>263</w:t>
      </w:r>
      <w:r w:rsidR="00833F1A" w:rsidRPr="00F85FCA">
        <w:rPr>
          <w:color w:val="000000" w:themeColor="text1"/>
          <w:szCs w:val="24"/>
        </w:rPr>
        <w:t xml:space="preserve"> (E2SHB1517) relating to Domestic Violence definitions</w:t>
      </w:r>
    </w:p>
    <w:p w:rsidR="00652E80" w:rsidRPr="00652E80" w:rsidRDefault="00833F1A" w:rsidP="004064DA">
      <w:pPr>
        <w:pStyle w:val="ListParagraph"/>
        <w:numPr>
          <w:ilvl w:val="0"/>
          <w:numId w:val="10"/>
        </w:numPr>
        <w:rPr>
          <w:color w:val="000000" w:themeColor="text1"/>
          <w:szCs w:val="24"/>
        </w:rPr>
      </w:pPr>
      <w:r w:rsidRPr="00F85FCA">
        <w:rPr>
          <w:color w:val="000000" w:themeColor="text1"/>
          <w:szCs w:val="24"/>
        </w:rPr>
        <w:t xml:space="preserve">Laws of 2019, </w:t>
      </w:r>
      <w:proofErr w:type="spellStart"/>
      <w:r w:rsidRPr="00F85FCA">
        <w:rPr>
          <w:color w:val="000000" w:themeColor="text1"/>
          <w:szCs w:val="24"/>
        </w:rPr>
        <w:t>ch.</w:t>
      </w:r>
      <w:proofErr w:type="spellEnd"/>
      <w:r w:rsidRPr="00F85FCA">
        <w:rPr>
          <w:color w:val="000000" w:themeColor="text1"/>
          <w:szCs w:val="24"/>
        </w:rPr>
        <w:t xml:space="preserve"> </w:t>
      </w:r>
      <w:r w:rsidR="00F85FCA">
        <w:rPr>
          <w:color w:val="000000" w:themeColor="text1"/>
          <w:szCs w:val="24"/>
        </w:rPr>
        <w:t>443</w:t>
      </w:r>
      <w:r w:rsidRPr="00F85FCA">
        <w:rPr>
          <w:color w:val="000000" w:themeColor="text1"/>
          <w:szCs w:val="24"/>
        </w:rPr>
        <w:t xml:space="preserve"> (SHB 1326) relating to collecting DNA Samples</w:t>
      </w:r>
    </w:p>
    <w:p w:rsidR="00652E80" w:rsidRDefault="00652E80" w:rsidP="004064DA">
      <w:pPr>
        <w:rPr>
          <w:szCs w:val="24"/>
        </w:rPr>
      </w:pPr>
    </w:p>
    <w:p w:rsidR="00CA41E7" w:rsidRPr="00F85FCA" w:rsidRDefault="004064DA" w:rsidP="004064DA">
      <w:pPr>
        <w:rPr>
          <w:szCs w:val="24"/>
        </w:rPr>
      </w:pPr>
      <w:r w:rsidRPr="00F85FCA">
        <w:rPr>
          <w:szCs w:val="24"/>
        </w:rPr>
        <w:t>The table below contains detailed descriptions of the proposed amendments</w:t>
      </w:r>
      <w:r w:rsidR="00966A31">
        <w:rPr>
          <w:szCs w:val="24"/>
        </w:rPr>
        <w:t>:</w:t>
      </w:r>
    </w:p>
    <w:p w:rsidR="00CA41E7" w:rsidRPr="00F85FCA" w:rsidRDefault="00CA41E7">
      <w:pPr>
        <w:rPr>
          <w:szCs w:val="24"/>
        </w:rPr>
      </w:pPr>
    </w:p>
    <w:tbl>
      <w:tblPr>
        <w:tblStyle w:val="TableGrid"/>
        <w:tblW w:w="9205" w:type="dxa"/>
        <w:tblInd w:w="24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7110"/>
      </w:tblGrid>
      <w:tr w:rsidR="00CA41E7" w:rsidRPr="00F85FCA" w:rsidTr="00271746">
        <w:trPr>
          <w:trHeight w:val="307"/>
        </w:trPr>
        <w:tc>
          <w:tcPr>
            <w:tcW w:w="2095" w:type="dxa"/>
          </w:tcPr>
          <w:p w:rsidR="00CA41E7" w:rsidRPr="00F85FCA" w:rsidRDefault="00A66E11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proofErr w:type="spellStart"/>
            <w:r w:rsidRPr="00F85FCA">
              <w:rPr>
                <w:b/>
                <w:szCs w:val="24"/>
              </w:rPr>
              <w:t>CrRLJ</w:t>
            </w:r>
            <w:proofErr w:type="spellEnd"/>
            <w:r w:rsidRPr="00F85FCA">
              <w:rPr>
                <w:b/>
                <w:szCs w:val="24"/>
              </w:rPr>
              <w:t xml:space="preserve"> 4.2(g)</w:t>
            </w:r>
          </w:p>
        </w:tc>
        <w:tc>
          <w:tcPr>
            <w:tcW w:w="7110" w:type="dxa"/>
          </w:tcPr>
          <w:p w:rsidR="00CA41E7" w:rsidRPr="00F85FCA" w:rsidRDefault="00A66E11">
            <w:pPr>
              <w:rPr>
                <w:b/>
                <w:szCs w:val="24"/>
              </w:rPr>
            </w:pPr>
            <w:r w:rsidRPr="00F85FCA">
              <w:rPr>
                <w:b/>
                <w:szCs w:val="24"/>
              </w:rPr>
              <w:t>Statement of Defendant on Plea of Guilty</w:t>
            </w:r>
          </w:p>
          <w:p w:rsidR="00CA41E7" w:rsidRPr="00F85FCA" w:rsidRDefault="00CA41E7" w:rsidP="005C0AE8">
            <w:pPr>
              <w:rPr>
                <w:szCs w:val="24"/>
              </w:rPr>
            </w:pPr>
          </w:p>
          <w:p w:rsidR="00652E80" w:rsidRDefault="00652E80" w:rsidP="005C0AE8">
            <w:pPr>
              <w:rPr>
                <w:rFonts w:eastAsia="Calibri"/>
                <w:color w:val="000000" w:themeColor="text1"/>
                <w:szCs w:val="24"/>
              </w:rPr>
            </w:pPr>
            <w:r w:rsidRPr="00E40A1A">
              <w:rPr>
                <w:rFonts w:eastAsia="Calibri"/>
                <w:color w:val="000000" w:themeColor="text1"/>
                <w:szCs w:val="24"/>
              </w:rPr>
              <w:t xml:space="preserve">Laws of 2019, </w:t>
            </w:r>
            <w:proofErr w:type="spellStart"/>
            <w:r w:rsidRPr="00E40A1A">
              <w:rPr>
                <w:rFonts w:eastAsia="Calibri"/>
                <w:color w:val="000000" w:themeColor="text1"/>
                <w:szCs w:val="24"/>
              </w:rPr>
              <w:t>ch.</w:t>
            </w:r>
            <w:proofErr w:type="spellEnd"/>
            <w:r w:rsidRPr="00E40A1A">
              <w:rPr>
                <w:rFonts w:eastAsia="Calibri"/>
                <w:color w:val="000000" w:themeColor="text1"/>
                <w:szCs w:val="24"/>
              </w:rPr>
              <w:t xml:space="preserve"> 263, §§ 203 and 204 amend the definition for “Domestic Violence” in RCW 10.99.010 and RCW 26.</w:t>
            </w:r>
            <w:r w:rsidR="009B7A88">
              <w:rPr>
                <w:rFonts w:eastAsia="Calibri"/>
                <w:color w:val="000000" w:themeColor="text1"/>
                <w:szCs w:val="24"/>
              </w:rPr>
              <w:t>50</w:t>
            </w:r>
            <w:r w:rsidRPr="00E40A1A">
              <w:rPr>
                <w:rFonts w:eastAsia="Calibri"/>
                <w:color w:val="000000" w:themeColor="text1"/>
                <w:szCs w:val="24"/>
              </w:rPr>
              <w:t>.010, respectively.  Domestic Violence relationships were classified as “Intimate partners</w:t>
            </w:r>
            <w:r w:rsidR="00C27CBE">
              <w:rPr>
                <w:rFonts w:eastAsia="Calibri"/>
                <w:color w:val="000000" w:themeColor="text1"/>
                <w:szCs w:val="24"/>
              </w:rPr>
              <w:t>,</w:t>
            </w:r>
            <w:r w:rsidRPr="00E40A1A">
              <w:rPr>
                <w:rFonts w:eastAsia="Calibri"/>
                <w:color w:val="000000" w:themeColor="text1"/>
                <w:szCs w:val="24"/>
              </w:rPr>
              <w:t>” RCW 26.50.010(7)</w:t>
            </w:r>
            <w:r w:rsidR="00C27CBE">
              <w:rPr>
                <w:rFonts w:eastAsia="Calibri"/>
                <w:color w:val="000000" w:themeColor="text1"/>
                <w:szCs w:val="24"/>
              </w:rPr>
              <w:t>,</w:t>
            </w:r>
            <w:r w:rsidRPr="00E40A1A">
              <w:rPr>
                <w:rFonts w:eastAsia="Calibri"/>
                <w:color w:val="000000" w:themeColor="text1"/>
                <w:szCs w:val="24"/>
              </w:rPr>
              <w:t xml:space="preserve"> and “Family or household members</w:t>
            </w:r>
            <w:r w:rsidR="00C27CBE">
              <w:rPr>
                <w:rFonts w:eastAsia="Calibri"/>
                <w:color w:val="000000" w:themeColor="text1"/>
                <w:szCs w:val="24"/>
              </w:rPr>
              <w:t>,</w:t>
            </w:r>
            <w:r w:rsidRPr="00E40A1A">
              <w:rPr>
                <w:rFonts w:eastAsia="Calibri"/>
                <w:color w:val="000000" w:themeColor="text1"/>
                <w:szCs w:val="24"/>
              </w:rPr>
              <w:t xml:space="preserve">” RCW 26.50.010(6).  </w:t>
            </w:r>
          </w:p>
          <w:p w:rsidR="00652E80" w:rsidRDefault="00652E80" w:rsidP="005C0AE8">
            <w:pPr>
              <w:rPr>
                <w:rFonts w:eastAsia="Calibri"/>
                <w:color w:val="000000" w:themeColor="text1"/>
                <w:szCs w:val="24"/>
              </w:rPr>
            </w:pPr>
          </w:p>
          <w:p w:rsidR="00833F1A" w:rsidRPr="00F85FCA" w:rsidRDefault="00652E80" w:rsidP="005C0AE8">
            <w:pPr>
              <w:rPr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 xml:space="preserve">To implement this change, </w:t>
            </w:r>
            <w:r w:rsidR="00833F1A" w:rsidRPr="00F85FCA">
              <w:rPr>
                <w:szCs w:val="24"/>
              </w:rPr>
              <w:t>paragrap</w:t>
            </w:r>
            <w:r>
              <w:rPr>
                <w:szCs w:val="24"/>
              </w:rPr>
              <w:t>h 4, below the table in “(b),”</w:t>
            </w:r>
            <w:r w:rsidR="00833F1A" w:rsidRPr="00F85FCA">
              <w:rPr>
                <w:szCs w:val="24"/>
              </w:rPr>
              <w:t xml:space="preserve"> the check box option </w:t>
            </w:r>
            <w:r w:rsidR="00570EA1">
              <w:rPr>
                <w:szCs w:val="24"/>
              </w:rPr>
              <w:t xml:space="preserve">is </w:t>
            </w:r>
            <w:r>
              <w:rPr>
                <w:szCs w:val="24"/>
              </w:rPr>
              <w:t xml:space="preserve">changed </w:t>
            </w:r>
            <w:r w:rsidR="00833F1A" w:rsidRPr="00F85FCA">
              <w:rPr>
                <w:szCs w:val="24"/>
              </w:rPr>
              <w:t>from:</w:t>
            </w:r>
          </w:p>
          <w:p w:rsidR="00833F1A" w:rsidRPr="00F85FCA" w:rsidRDefault="00833F1A" w:rsidP="005C0AE8">
            <w:pPr>
              <w:rPr>
                <w:szCs w:val="24"/>
              </w:rPr>
            </w:pPr>
          </w:p>
          <w:p w:rsidR="00833F1A" w:rsidRPr="00F85FCA" w:rsidRDefault="00833F1A" w:rsidP="00833F1A">
            <w:pPr>
              <w:ind w:left="1145" w:hanging="425"/>
              <w:rPr>
                <w:szCs w:val="24"/>
              </w:rPr>
            </w:pPr>
            <w:r w:rsidRPr="00F85FCA">
              <w:rPr>
                <w:rFonts w:eastAsia="MS Gothic"/>
                <w:szCs w:val="24"/>
              </w:rPr>
              <w:t>“</w:t>
            </w:r>
            <w:r w:rsidR="00570EA1">
              <w:rPr>
                <w:rFonts w:eastAsia="MS Gothic"/>
                <w:szCs w:val="24"/>
              </w:rPr>
              <w:t>[  ]</w:t>
            </w:r>
            <w:r w:rsidRPr="00F85FCA">
              <w:rPr>
                <w:szCs w:val="24"/>
              </w:rPr>
              <w:t xml:space="preserve"> In count(s) _________, I committed the offense against another family or household member as defined in RCW 10.99.020”</w:t>
            </w:r>
          </w:p>
          <w:p w:rsidR="00833F1A" w:rsidRPr="00F85FCA" w:rsidRDefault="00833F1A" w:rsidP="00833F1A">
            <w:pPr>
              <w:rPr>
                <w:szCs w:val="24"/>
              </w:rPr>
            </w:pPr>
            <w:r w:rsidRPr="00F85FCA">
              <w:rPr>
                <w:szCs w:val="24"/>
              </w:rPr>
              <w:t>to:</w:t>
            </w:r>
          </w:p>
          <w:p w:rsidR="00570EA1" w:rsidRPr="00806EB6" w:rsidRDefault="00570EA1" w:rsidP="00570EA1">
            <w:pPr>
              <w:spacing w:before="80"/>
              <w:ind w:left="994" w:hanging="274"/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[  ]</w:t>
            </w:r>
            <w:r w:rsidRPr="00806EB6">
              <w:rPr>
                <w:spacing w:val="-2"/>
                <w:sz w:val="22"/>
              </w:rPr>
              <w:t xml:space="preserve"> Count(s) _________</w:t>
            </w:r>
            <w:r>
              <w:rPr>
                <w:spacing w:val="-2"/>
                <w:sz w:val="22"/>
              </w:rPr>
              <w:t xml:space="preserve"> </w:t>
            </w:r>
            <w:r w:rsidRPr="00806EB6">
              <w:rPr>
                <w:spacing w:val="-2"/>
                <w:sz w:val="22"/>
              </w:rPr>
              <w:t>was (were) committed against an intimate partner (RCW 9A.36.041 and RCW 26.50.010(7)).</w:t>
            </w:r>
          </w:p>
          <w:p w:rsidR="00570EA1" w:rsidRPr="00044C2F" w:rsidRDefault="00570EA1" w:rsidP="00570EA1">
            <w:pPr>
              <w:spacing w:before="80"/>
              <w:ind w:left="994" w:hanging="274"/>
              <w:rPr>
                <w:strike/>
                <w:sz w:val="22"/>
              </w:rPr>
            </w:pPr>
            <w:r>
              <w:rPr>
                <w:rFonts w:eastAsia="MS Gothic"/>
              </w:rPr>
              <w:t xml:space="preserve">[  ] </w:t>
            </w:r>
            <w:r w:rsidRPr="004B7430">
              <w:rPr>
                <w:sz w:val="22"/>
              </w:rPr>
              <w:t>C</w:t>
            </w:r>
            <w:r w:rsidRPr="00CD1A57">
              <w:rPr>
                <w:sz w:val="22"/>
              </w:rPr>
              <w:t>ount(s) _________</w:t>
            </w:r>
            <w:r w:rsidRPr="00806EB6">
              <w:rPr>
                <w:sz w:val="22"/>
              </w:rPr>
              <w:t xml:space="preserve"> was </w:t>
            </w:r>
            <w:r w:rsidRPr="004B7430">
              <w:rPr>
                <w:sz w:val="22"/>
              </w:rPr>
              <w:t>(were</w:t>
            </w:r>
            <w:r w:rsidRPr="00806EB6">
              <w:rPr>
                <w:sz w:val="22"/>
              </w:rPr>
              <w:t xml:space="preserve">) </w:t>
            </w:r>
            <w:r w:rsidRPr="00CD1A57">
              <w:rPr>
                <w:sz w:val="22"/>
              </w:rPr>
              <w:t>committed against</w:t>
            </w:r>
            <w:r w:rsidRPr="004B7430">
              <w:rPr>
                <w:sz w:val="22"/>
              </w:rPr>
              <w:t xml:space="preserve"> </w:t>
            </w:r>
            <w:r w:rsidRPr="00806EB6">
              <w:rPr>
                <w:sz w:val="22"/>
              </w:rPr>
              <w:t xml:space="preserve">a </w:t>
            </w:r>
            <w:r w:rsidRPr="00044C2F">
              <w:rPr>
                <w:sz w:val="22"/>
              </w:rPr>
              <w:t xml:space="preserve">family or household member </w:t>
            </w:r>
            <w:r w:rsidRPr="00806EB6">
              <w:rPr>
                <w:spacing w:val="-2"/>
                <w:sz w:val="22"/>
              </w:rPr>
              <w:t>(RCW 26.50.010(6))</w:t>
            </w:r>
            <w:r w:rsidRPr="00044C2F">
              <w:rPr>
                <w:spacing w:val="-2"/>
                <w:sz w:val="22"/>
              </w:rPr>
              <w:t>.</w:t>
            </w:r>
          </w:p>
          <w:p w:rsidR="00833F1A" w:rsidRPr="00F85FCA" w:rsidRDefault="00833F1A" w:rsidP="00833F1A">
            <w:pPr>
              <w:rPr>
                <w:szCs w:val="24"/>
              </w:rPr>
            </w:pPr>
          </w:p>
          <w:p w:rsidR="00833F1A" w:rsidRPr="00F85FCA" w:rsidRDefault="00833F1A" w:rsidP="00833F1A">
            <w:pPr>
              <w:rPr>
                <w:szCs w:val="24"/>
              </w:rPr>
            </w:pPr>
            <w:r w:rsidRPr="00F85FCA">
              <w:rPr>
                <w:rFonts w:eastAsia="Calibri"/>
                <w:color w:val="000000" w:themeColor="text1"/>
                <w:szCs w:val="24"/>
              </w:rPr>
              <w:t xml:space="preserve">Laws of 2019, </w:t>
            </w:r>
            <w:proofErr w:type="spellStart"/>
            <w:r w:rsidRPr="00F85FCA">
              <w:rPr>
                <w:rFonts w:eastAsia="Calibri"/>
                <w:color w:val="000000" w:themeColor="text1"/>
                <w:szCs w:val="24"/>
              </w:rPr>
              <w:t>ch</w:t>
            </w:r>
            <w:r w:rsidR="00C27CBE">
              <w:rPr>
                <w:rFonts w:eastAsia="Calibri"/>
                <w:color w:val="000000" w:themeColor="text1"/>
                <w:szCs w:val="24"/>
              </w:rPr>
              <w:t>.</w:t>
            </w:r>
            <w:proofErr w:type="spellEnd"/>
            <w:r w:rsidRPr="00F85FCA">
              <w:rPr>
                <w:rFonts w:eastAsia="Calibri"/>
                <w:color w:val="000000" w:themeColor="text1"/>
                <w:szCs w:val="24"/>
              </w:rPr>
              <w:t xml:space="preserve"> 443, §</w:t>
            </w:r>
            <w:r w:rsidR="00C27CBE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F85FCA">
              <w:rPr>
                <w:rFonts w:eastAsia="Calibri"/>
                <w:color w:val="000000" w:themeColor="text1"/>
                <w:szCs w:val="24"/>
              </w:rPr>
              <w:t>3 amends RCW 43.43.745 by adding “</w:t>
            </w:r>
            <w:r w:rsidR="00652E80">
              <w:rPr>
                <w:rFonts w:eastAsia="Calibri"/>
                <w:color w:val="000000" w:themeColor="text1"/>
                <w:szCs w:val="24"/>
              </w:rPr>
              <w:t>i</w:t>
            </w:r>
            <w:r w:rsidRPr="00F85FCA">
              <w:rPr>
                <w:rFonts w:eastAsia="Calibri"/>
                <w:color w:val="000000" w:themeColor="text1"/>
                <w:szCs w:val="24"/>
              </w:rPr>
              <w:t xml:space="preserve">ndecent exposure” and comparable ordinances to </w:t>
            </w:r>
            <w:r w:rsidR="002B0702" w:rsidRPr="00F85FCA">
              <w:rPr>
                <w:rFonts w:eastAsia="Calibri"/>
                <w:color w:val="000000" w:themeColor="text1"/>
                <w:szCs w:val="24"/>
              </w:rPr>
              <w:t>the list of crimes that require</w:t>
            </w:r>
            <w:r w:rsidRPr="00F85FCA">
              <w:rPr>
                <w:rFonts w:eastAsia="Calibri"/>
                <w:color w:val="000000" w:themeColor="text1"/>
                <w:szCs w:val="24"/>
              </w:rPr>
              <w:t xml:space="preserve"> DNA testing. </w:t>
            </w:r>
            <w:r w:rsidR="00C27CBE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F85FCA">
              <w:rPr>
                <w:rFonts w:eastAsia="Calibri"/>
                <w:color w:val="000000" w:themeColor="text1"/>
                <w:szCs w:val="24"/>
              </w:rPr>
              <w:t xml:space="preserve">To implement this change, paragraph </w:t>
            </w:r>
            <w:r w:rsidR="00652E80">
              <w:rPr>
                <w:rFonts w:eastAsia="Calibri"/>
                <w:color w:val="000000" w:themeColor="text1"/>
                <w:szCs w:val="24"/>
              </w:rPr>
              <w:t xml:space="preserve">6(y) </w:t>
            </w:r>
            <w:r w:rsidR="00974778">
              <w:rPr>
                <w:rFonts w:eastAsia="Calibri"/>
                <w:color w:val="000000" w:themeColor="text1"/>
                <w:szCs w:val="24"/>
              </w:rPr>
              <w:t>is</w:t>
            </w:r>
            <w:r w:rsidR="00652E80">
              <w:rPr>
                <w:rFonts w:eastAsia="Calibri"/>
                <w:color w:val="000000" w:themeColor="text1"/>
                <w:szCs w:val="24"/>
              </w:rPr>
              <w:t xml:space="preserve"> updated </w:t>
            </w:r>
            <w:r w:rsidRPr="00F85FCA">
              <w:rPr>
                <w:rFonts w:eastAsia="Calibri"/>
                <w:color w:val="000000" w:themeColor="text1"/>
                <w:szCs w:val="24"/>
              </w:rPr>
              <w:t>as follows:</w:t>
            </w:r>
          </w:p>
          <w:p w:rsidR="00833F1A" w:rsidRPr="00F85FCA" w:rsidRDefault="00833F1A" w:rsidP="00833F1A">
            <w:pPr>
              <w:rPr>
                <w:szCs w:val="24"/>
              </w:rPr>
            </w:pPr>
          </w:p>
          <w:p w:rsidR="002B0702" w:rsidRPr="00F85FCA" w:rsidRDefault="002B0702" w:rsidP="002B070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720"/>
              <w:rPr>
                <w:spacing w:val="-2"/>
                <w:szCs w:val="24"/>
              </w:rPr>
            </w:pPr>
            <w:r w:rsidRPr="00F85FCA">
              <w:rPr>
                <w:szCs w:val="24"/>
              </w:rPr>
              <w:t>“</w:t>
            </w:r>
            <w:r w:rsidRPr="00F85FCA">
              <w:rPr>
                <w:spacing w:val="-2"/>
                <w:szCs w:val="24"/>
              </w:rPr>
              <w:t>(y)</w:t>
            </w:r>
            <w:r w:rsidRPr="00F85FCA">
              <w:rPr>
                <w:spacing w:val="-2"/>
                <w:szCs w:val="24"/>
              </w:rPr>
              <w:tab/>
              <w:t xml:space="preserve">Pursuant to RCW 43.43.754, if this crime is an </w:t>
            </w:r>
            <w:r w:rsidRPr="00F85FCA">
              <w:rPr>
                <w:szCs w:val="24"/>
              </w:rPr>
              <w:t>offense which requires sex or kidnapping offender registration, or is one of the following offenses:</w:t>
            </w:r>
            <w:r w:rsidRPr="00F85FCA">
              <w:rPr>
                <w:spacing w:val="-2"/>
                <w:szCs w:val="24"/>
              </w:rPr>
              <w:t xml:space="preserve"> assault in the fourth degree where domestic violence was pleaded and proved, assault in the fourth degree with sexual motivation,</w:t>
            </w:r>
            <w:r w:rsidRPr="00F85FCA">
              <w:rPr>
                <w:szCs w:val="24"/>
              </w:rPr>
              <w:t xml:space="preserve"> communication with a minor for immoral purposes, custodial sexual misconduct in the second degree, failure to register, harassment, patronizing a prostitute, sexual misconduct with a minor in the second degree, stalking, </w:t>
            </w:r>
            <w:r w:rsidRPr="00F85FCA">
              <w:rPr>
                <w:szCs w:val="24"/>
                <w:u w:val="single"/>
              </w:rPr>
              <w:t>indecent exposure,</w:t>
            </w:r>
            <w:r w:rsidRPr="00F85FCA">
              <w:rPr>
                <w:szCs w:val="24"/>
              </w:rPr>
              <w:t xml:space="preserve"> or violation of a sexual assault protection order granted under chapter 7.90 RCW, </w:t>
            </w:r>
            <w:r w:rsidRPr="00F85FCA">
              <w:rPr>
                <w:szCs w:val="24"/>
                <w:u w:val="single"/>
              </w:rPr>
              <w:t>or comparable ordinance,</w:t>
            </w:r>
            <w:r w:rsidRPr="00F85FCA">
              <w:rPr>
                <w:szCs w:val="24"/>
              </w:rPr>
              <w:t xml:space="preserve"> </w:t>
            </w:r>
            <w:r w:rsidRPr="00F85FCA">
              <w:rPr>
                <w:spacing w:val="-2"/>
                <w:szCs w:val="24"/>
              </w:rPr>
              <w:t>I will be required to have a biological sample collected for purposes of DNA identification analysis, unless it is established that the Washington State Patrol crime laboratory already has a sample from me for a qualifying offense.”</w:t>
            </w:r>
          </w:p>
          <w:p w:rsidR="00F85FCA" w:rsidRDefault="00F85FCA" w:rsidP="00F85FCA">
            <w:pPr>
              <w:rPr>
                <w:szCs w:val="24"/>
              </w:rPr>
            </w:pPr>
          </w:p>
          <w:p w:rsidR="00974778" w:rsidRDefault="00974778" w:rsidP="00974778">
            <w:pPr>
              <w:rPr>
                <w:szCs w:val="24"/>
              </w:rPr>
            </w:pPr>
            <w:r w:rsidRPr="00F85FCA">
              <w:rPr>
                <w:szCs w:val="24"/>
              </w:rPr>
              <w:t>In paragraph 11,</w:t>
            </w:r>
            <w:r>
              <w:rPr>
                <w:szCs w:val="24"/>
              </w:rPr>
              <w:t xml:space="preserve"> The paragraph heading is changed as follows:  </w:t>
            </w:r>
            <w:r w:rsidRPr="00570EA1">
              <w:rPr>
                <w:i/>
                <w:szCs w:val="24"/>
              </w:rPr>
              <w:t xml:space="preserve">Statement of Facts </w:t>
            </w:r>
            <w:r w:rsidRPr="00570EA1">
              <w:rPr>
                <w:i/>
                <w:szCs w:val="24"/>
                <w:u w:val="single"/>
              </w:rPr>
              <w:t>by Defendant</w:t>
            </w:r>
            <w:r>
              <w:rPr>
                <w:szCs w:val="24"/>
              </w:rPr>
              <w:t>.</w:t>
            </w:r>
          </w:p>
          <w:p w:rsidR="00974778" w:rsidRDefault="00974778" w:rsidP="00974778">
            <w:pPr>
              <w:rPr>
                <w:szCs w:val="24"/>
              </w:rPr>
            </w:pPr>
          </w:p>
          <w:p w:rsidR="00974778" w:rsidRPr="00F85FCA" w:rsidRDefault="00974778" w:rsidP="00974778">
            <w:pPr>
              <w:rPr>
                <w:szCs w:val="24"/>
              </w:rPr>
            </w:pPr>
            <w:r>
              <w:rPr>
                <w:szCs w:val="24"/>
              </w:rPr>
              <w:t xml:space="preserve"> T</w:t>
            </w:r>
            <w:r w:rsidRPr="00F85FCA">
              <w:rPr>
                <w:szCs w:val="24"/>
              </w:rPr>
              <w:t xml:space="preserve">he check box below the lines </w:t>
            </w:r>
            <w:r>
              <w:rPr>
                <w:szCs w:val="24"/>
              </w:rPr>
              <w:t xml:space="preserve">is changed </w:t>
            </w:r>
            <w:r w:rsidRPr="00F85FCA">
              <w:rPr>
                <w:szCs w:val="24"/>
              </w:rPr>
              <w:t>from:</w:t>
            </w:r>
          </w:p>
          <w:p w:rsidR="00974778" w:rsidRPr="00F85FCA" w:rsidRDefault="00974778" w:rsidP="00974778">
            <w:pPr>
              <w:rPr>
                <w:szCs w:val="24"/>
              </w:rPr>
            </w:pPr>
          </w:p>
          <w:p w:rsidR="00974778" w:rsidRPr="00F85FCA" w:rsidRDefault="00974778" w:rsidP="00974778">
            <w:pPr>
              <w:ind w:left="720"/>
              <w:rPr>
                <w:szCs w:val="24"/>
              </w:rPr>
            </w:pPr>
            <w:r w:rsidRPr="00F85FCA">
              <w:rPr>
                <w:rFonts w:eastAsia="MS Gothic"/>
                <w:szCs w:val="24"/>
              </w:rPr>
              <w:t>“</w:t>
            </w:r>
            <w:r w:rsidRPr="00F85FCA">
              <w:rPr>
                <w:rFonts w:eastAsia="MS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FCA">
              <w:rPr>
                <w:rFonts w:eastAsia="MS Gothic"/>
                <w:szCs w:val="24"/>
              </w:rPr>
              <w:instrText xml:space="preserve"> FORMCHECKBOX </w:instrText>
            </w:r>
            <w:r w:rsidR="00581574">
              <w:rPr>
                <w:rFonts w:eastAsia="MS Gothic"/>
                <w:szCs w:val="24"/>
              </w:rPr>
            </w:r>
            <w:r w:rsidR="00581574">
              <w:rPr>
                <w:rFonts w:eastAsia="MS Gothic"/>
                <w:szCs w:val="24"/>
              </w:rPr>
              <w:fldChar w:fldCharType="separate"/>
            </w:r>
            <w:r w:rsidRPr="00F85FCA">
              <w:rPr>
                <w:rFonts w:eastAsia="MS Gothic"/>
                <w:szCs w:val="24"/>
              </w:rPr>
              <w:fldChar w:fldCharType="end"/>
            </w:r>
            <w:r w:rsidRPr="00F85FCA">
              <w:rPr>
                <w:spacing w:val="-2"/>
                <w:szCs w:val="24"/>
              </w:rPr>
              <w:t xml:space="preserve"> I committed this crime against a family or household member as defined in </w:t>
            </w:r>
            <w:r w:rsidRPr="00F85FCA">
              <w:rPr>
                <w:rFonts w:eastAsia="MS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FCA">
              <w:rPr>
                <w:rFonts w:eastAsia="MS Gothic"/>
                <w:szCs w:val="24"/>
              </w:rPr>
              <w:instrText xml:space="preserve"> FORMCHECKBOX </w:instrText>
            </w:r>
            <w:r w:rsidR="00581574">
              <w:rPr>
                <w:rFonts w:eastAsia="MS Gothic"/>
                <w:szCs w:val="24"/>
              </w:rPr>
            </w:r>
            <w:r w:rsidR="00581574">
              <w:rPr>
                <w:rFonts w:eastAsia="MS Gothic"/>
                <w:szCs w:val="24"/>
              </w:rPr>
              <w:fldChar w:fldCharType="separate"/>
            </w:r>
            <w:r w:rsidRPr="00F85FCA">
              <w:rPr>
                <w:rFonts w:eastAsia="MS Gothic"/>
                <w:szCs w:val="24"/>
              </w:rPr>
              <w:fldChar w:fldCharType="end"/>
            </w:r>
            <w:r w:rsidRPr="00F85FCA">
              <w:rPr>
                <w:rFonts w:eastAsia="MS Gothic"/>
                <w:szCs w:val="24"/>
              </w:rPr>
              <w:t xml:space="preserve"> RCW 9A.36.041 </w:t>
            </w:r>
            <w:r w:rsidRPr="00F85FCA">
              <w:rPr>
                <w:rFonts w:eastAsia="MS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FCA">
              <w:rPr>
                <w:rFonts w:eastAsia="MS Gothic"/>
                <w:szCs w:val="24"/>
              </w:rPr>
              <w:instrText xml:space="preserve"> FORMCHECKBOX </w:instrText>
            </w:r>
            <w:r w:rsidR="00581574">
              <w:rPr>
                <w:rFonts w:eastAsia="MS Gothic"/>
                <w:szCs w:val="24"/>
              </w:rPr>
            </w:r>
            <w:r w:rsidR="00581574">
              <w:rPr>
                <w:rFonts w:eastAsia="MS Gothic"/>
                <w:szCs w:val="24"/>
              </w:rPr>
              <w:fldChar w:fldCharType="separate"/>
            </w:r>
            <w:r w:rsidRPr="00F85FCA">
              <w:rPr>
                <w:rFonts w:eastAsia="MS Gothic"/>
                <w:szCs w:val="24"/>
              </w:rPr>
              <w:fldChar w:fldCharType="end"/>
            </w:r>
            <w:r w:rsidRPr="00F85FCA">
              <w:rPr>
                <w:rFonts w:eastAsia="MS Gothic"/>
                <w:szCs w:val="24"/>
              </w:rPr>
              <w:t xml:space="preserve"> RCW 10.99.020.”</w:t>
            </w:r>
          </w:p>
          <w:p w:rsidR="00974778" w:rsidRPr="00F85FCA" w:rsidRDefault="00974778" w:rsidP="00974778">
            <w:pPr>
              <w:rPr>
                <w:szCs w:val="24"/>
              </w:rPr>
            </w:pPr>
            <w:r w:rsidRPr="00F85FCA">
              <w:rPr>
                <w:szCs w:val="24"/>
              </w:rPr>
              <w:t>to:</w:t>
            </w:r>
          </w:p>
          <w:p w:rsidR="00974778" w:rsidRPr="004B7430" w:rsidRDefault="00974778" w:rsidP="00974778">
            <w:pPr>
              <w:tabs>
                <w:tab w:val="left" w:pos="-720"/>
                <w:tab w:val="left" w:pos="9180"/>
              </w:tabs>
              <w:suppressAutoHyphens/>
              <w:spacing w:line="320" w:lineRule="atLeast"/>
              <w:ind w:left="990" w:hanging="270"/>
              <w:rPr>
                <w:rFonts w:eastAsia="MS Gothic"/>
              </w:rPr>
            </w:pPr>
            <w:r w:rsidRPr="00CD1A57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1A57">
              <w:rPr>
                <w:rFonts w:eastAsia="MS Gothic"/>
              </w:rPr>
              <w:instrText xml:space="preserve"> FORMCHECKBOX </w:instrText>
            </w:r>
            <w:r w:rsidR="00581574">
              <w:rPr>
                <w:rFonts w:eastAsia="MS Gothic"/>
              </w:rPr>
            </w:r>
            <w:r w:rsidR="00581574">
              <w:rPr>
                <w:rFonts w:eastAsia="MS Gothic"/>
              </w:rPr>
              <w:fldChar w:fldCharType="separate"/>
            </w:r>
            <w:r w:rsidRPr="00CD1A57">
              <w:rPr>
                <w:rFonts w:eastAsia="MS Gothic"/>
              </w:rPr>
              <w:fldChar w:fldCharType="end"/>
            </w:r>
            <w:r>
              <w:rPr>
                <w:rFonts w:eastAsia="MS Gothic"/>
              </w:rPr>
              <w:t xml:space="preserve"> </w:t>
            </w:r>
            <w:r w:rsidRPr="004B7430">
              <w:rPr>
                <w:rFonts w:eastAsia="MS Gothic"/>
                <w:sz w:val="22"/>
              </w:rPr>
              <w:t xml:space="preserve">The crime(s) was (were) committed against </w:t>
            </w:r>
            <w:r w:rsidRPr="004B7430">
              <w:rPr>
                <w:spacing w:val="-2"/>
                <w:sz w:val="22"/>
              </w:rPr>
              <w:t>intimate partner(s</w:t>
            </w:r>
            <w:r>
              <w:rPr>
                <w:spacing w:val="-2"/>
                <w:sz w:val="22"/>
              </w:rPr>
              <w:t xml:space="preserve">): ___________________________ </w:t>
            </w:r>
            <w:r w:rsidRPr="004B7430">
              <w:rPr>
                <w:spacing w:val="-2"/>
                <w:sz w:val="22"/>
              </w:rPr>
              <w:t>(name(s)). (RCW 9A.36.041 and RCW 26.50.010(7)).</w:t>
            </w:r>
          </w:p>
          <w:p w:rsidR="00974778" w:rsidRDefault="00974778" w:rsidP="00974778">
            <w:pPr>
              <w:tabs>
                <w:tab w:val="left" w:pos="-720"/>
                <w:tab w:val="left" w:pos="9180"/>
              </w:tabs>
              <w:suppressAutoHyphens/>
              <w:spacing w:line="320" w:lineRule="atLeast"/>
              <w:ind w:left="990" w:hanging="270"/>
              <w:rPr>
                <w:spacing w:val="-2"/>
                <w:sz w:val="22"/>
              </w:rPr>
            </w:pPr>
            <w:r w:rsidRPr="00CD1A57"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1A57">
              <w:rPr>
                <w:rFonts w:eastAsia="MS Gothic"/>
              </w:rPr>
              <w:instrText xml:space="preserve"> FORMCHECKBOX </w:instrText>
            </w:r>
            <w:r w:rsidR="00581574">
              <w:rPr>
                <w:rFonts w:eastAsia="MS Gothic"/>
              </w:rPr>
            </w:r>
            <w:r w:rsidR="00581574">
              <w:rPr>
                <w:rFonts w:eastAsia="MS Gothic"/>
              </w:rPr>
              <w:fldChar w:fldCharType="separate"/>
            </w:r>
            <w:r w:rsidRPr="00CD1A57">
              <w:rPr>
                <w:rFonts w:eastAsia="MS Gothic"/>
              </w:rPr>
              <w:fldChar w:fldCharType="end"/>
            </w:r>
            <w:r w:rsidRPr="00CD1A57">
              <w:rPr>
                <w:spacing w:val="-2"/>
                <w:sz w:val="22"/>
              </w:rPr>
              <w:t xml:space="preserve"> </w:t>
            </w:r>
            <w:r w:rsidRPr="004B7430">
              <w:rPr>
                <w:spacing w:val="-2"/>
                <w:sz w:val="22"/>
              </w:rPr>
              <w:t>T</w:t>
            </w:r>
            <w:r w:rsidRPr="00CD1A57">
              <w:rPr>
                <w:spacing w:val="-2"/>
                <w:sz w:val="22"/>
              </w:rPr>
              <w:t>h</w:t>
            </w:r>
            <w:r>
              <w:rPr>
                <w:spacing w:val="-2"/>
                <w:sz w:val="22"/>
              </w:rPr>
              <w:t>e</w:t>
            </w:r>
            <w:r w:rsidRPr="00CD1A57">
              <w:rPr>
                <w:spacing w:val="-2"/>
                <w:sz w:val="22"/>
              </w:rPr>
              <w:t xml:space="preserve"> crime</w:t>
            </w:r>
            <w:r>
              <w:rPr>
                <w:spacing w:val="-2"/>
                <w:sz w:val="22"/>
              </w:rPr>
              <w:t>(</w:t>
            </w:r>
            <w:r w:rsidRPr="003F6927">
              <w:rPr>
                <w:spacing w:val="-2"/>
                <w:sz w:val="22"/>
              </w:rPr>
              <w:t xml:space="preserve">s) was (were) committed </w:t>
            </w:r>
            <w:r w:rsidRPr="00CD1A57">
              <w:rPr>
                <w:spacing w:val="-2"/>
                <w:sz w:val="22"/>
              </w:rPr>
              <w:t>against</w:t>
            </w:r>
            <w:r>
              <w:rPr>
                <w:spacing w:val="-2"/>
                <w:sz w:val="22"/>
              </w:rPr>
              <w:t xml:space="preserve"> </w:t>
            </w:r>
            <w:r w:rsidRPr="00056E7E">
              <w:rPr>
                <w:spacing w:val="-2"/>
                <w:sz w:val="22"/>
              </w:rPr>
              <w:t>family or household member</w:t>
            </w:r>
            <w:r>
              <w:rPr>
                <w:spacing w:val="-2"/>
                <w:sz w:val="22"/>
              </w:rPr>
              <w:t xml:space="preserve">(s): </w:t>
            </w:r>
            <w:r>
              <w:rPr>
                <w:spacing w:val="-2"/>
                <w:sz w:val="22"/>
              </w:rPr>
              <w:lastRenderedPageBreak/>
              <w:t>_________________________________ (name(s</w:t>
            </w:r>
            <w:r w:rsidRPr="004B7430">
              <w:rPr>
                <w:spacing w:val="-2"/>
                <w:sz w:val="22"/>
              </w:rPr>
              <w:t>)) (RCW 26.50.010(6)).</w:t>
            </w:r>
            <w:r w:rsidRPr="00CD1A57">
              <w:rPr>
                <w:spacing w:val="-2"/>
                <w:sz w:val="22"/>
              </w:rPr>
              <w:t xml:space="preserve"> </w:t>
            </w:r>
          </w:p>
          <w:p w:rsidR="00974778" w:rsidRDefault="00974778" w:rsidP="00974778">
            <w:pPr>
              <w:tabs>
                <w:tab w:val="left" w:pos="-720"/>
                <w:tab w:val="left" w:pos="1440"/>
                <w:tab w:val="left" w:pos="9180"/>
              </w:tabs>
              <w:suppressAutoHyphens/>
              <w:spacing w:after="80" w:line="320" w:lineRule="atLeast"/>
              <w:rPr>
                <w:szCs w:val="24"/>
              </w:rPr>
            </w:pPr>
          </w:p>
          <w:p w:rsidR="00974778" w:rsidRDefault="00974778" w:rsidP="00974778">
            <w:pPr>
              <w:tabs>
                <w:tab w:val="left" w:pos="-720"/>
                <w:tab w:val="left" w:pos="1440"/>
                <w:tab w:val="left" w:pos="9180"/>
              </w:tabs>
              <w:suppressAutoHyphens/>
              <w:spacing w:after="80" w:line="320" w:lineRule="atLeast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A7138F">
              <w:rPr>
                <w:szCs w:val="24"/>
              </w:rPr>
              <w:t xml:space="preserve">check </w:t>
            </w:r>
            <w:r>
              <w:rPr>
                <w:szCs w:val="24"/>
              </w:rPr>
              <w:t xml:space="preserve">box beginning with “Instead of making a statement” </w:t>
            </w:r>
            <w:r w:rsidR="00A7138F">
              <w:rPr>
                <w:szCs w:val="24"/>
              </w:rPr>
              <w:t>is</w:t>
            </w:r>
            <w:r>
              <w:rPr>
                <w:szCs w:val="24"/>
              </w:rPr>
              <w:t xml:space="preserve"> changed as follows:</w:t>
            </w:r>
          </w:p>
          <w:p w:rsidR="00974778" w:rsidRDefault="00974778" w:rsidP="00974778">
            <w:pPr>
              <w:pStyle w:val="BodyTextIndent2"/>
              <w:spacing w:after="0" w:line="240" w:lineRule="auto"/>
              <w:rPr>
                <w:rFonts w:eastAsia="MS Gothic"/>
                <w:sz w:val="20"/>
              </w:rPr>
            </w:pPr>
          </w:p>
          <w:p w:rsidR="00974778" w:rsidRPr="00974778" w:rsidRDefault="00974778" w:rsidP="00974778">
            <w:pPr>
              <w:pStyle w:val="BodyTextIndent2"/>
              <w:spacing w:after="0" w:line="240" w:lineRule="auto"/>
              <w:rPr>
                <w:u w:val="single"/>
              </w:rPr>
            </w:pPr>
            <w:r>
              <w:rPr>
                <w:rFonts w:eastAsia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MS Gothic"/>
                <w:sz w:val="20"/>
              </w:rPr>
              <w:instrText xml:space="preserve"> FORMCHECKBOX </w:instrText>
            </w:r>
            <w:r w:rsidR="00581574">
              <w:rPr>
                <w:rFonts w:eastAsia="MS Gothic"/>
                <w:sz w:val="20"/>
              </w:rPr>
            </w:r>
            <w:r w:rsidR="00581574">
              <w:rPr>
                <w:rFonts w:eastAsia="MS Gothic"/>
                <w:sz w:val="20"/>
              </w:rPr>
              <w:fldChar w:fldCharType="separate"/>
            </w:r>
            <w:r>
              <w:rPr>
                <w:rFonts w:eastAsia="MS Gothic"/>
                <w:sz w:val="20"/>
              </w:rPr>
              <w:fldChar w:fldCharType="end"/>
            </w:r>
            <w:r>
              <w:t xml:space="preserve"> </w:t>
            </w:r>
            <w:r w:rsidRPr="00B222E5">
              <w:rPr>
                <w:i/>
                <w:sz w:val="22"/>
                <w:u w:val="single"/>
              </w:rPr>
              <w:t>No statement made.</w:t>
            </w:r>
            <w:r w:rsidRPr="009747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74778">
              <w:t>Instead</w:t>
            </w:r>
            <w:r>
              <w:t xml:space="preserve"> of making a statement, I agree that the court may review the police reports and/or a statement of probable cause supplied by the prosecution to establish a factual basis for the plea</w:t>
            </w:r>
            <w:r w:rsidRPr="00974778">
              <w:rPr>
                <w:u w:val="single"/>
              </w:rPr>
              <w:t>, including a determination of my relationship to each victim as:</w:t>
            </w:r>
          </w:p>
          <w:p w:rsidR="00974778" w:rsidRPr="00974778" w:rsidRDefault="00974778" w:rsidP="00974778">
            <w:pPr>
              <w:pStyle w:val="BodyTextIndent2"/>
              <w:spacing w:after="0" w:line="240" w:lineRule="auto"/>
              <w:rPr>
                <w:u w:val="single"/>
              </w:rPr>
            </w:pPr>
          </w:p>
          <w:p w:rsidR="00974778" w:rsidRPr="00974778" w:rsidRDefault="00974778" w:rsidP="00974778">
            <w:pPr>
              <w:tabs>
                <w:tab w:val="left" w:pos="-720"/>
                <w:tab w:val="left" w:pos="9180"/>
              </w:tabs>
              <w:suppressAutoHyphens/>
              <w:ind w:left="1714" w:hanging="274"/>
              <w:rPr>
                <w:rFonts w:eastAsia="MS Gothic"/>
                <w:u w:val="single"/>
              </w:rPr>
            </w:pPr>
            <w:r w:rsidRPr="00974778">
              <w:rPr>
                <w:rFonts w:eastAsia="MS Gothic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8">
              <w:rPr>
                <w:rFonts w:eastAsia="MS Gothic"/>
                <w:u w:val="single"/>
              </w:rPr>
              <w:instrText xml:space="preserve"> FORMCHECKBOX </w:instrText>
            </w:r>
            <w:r w:rsidR="00581574">
              <w:rPr>
                <w:rFonts w:eastAsia="MS Gothic"/>
                <w:u w:val="single"/>
              </w:rPr>
            </w:r>
            <w:r w:rsidR="00581574">
              <w:rPr>
                <w:rFonts w:eastAsia="MS Gothic"/>
                <w:u w:val="single"/>
              </w:rPr>
              <w:fldChar w:fldCharType="separate"/>
            </w:r>
            <w:r w:rsidRPr="00974778">
              <w:rPr>
                <w:rFonts w:eastAsia="MS Gothic"/>
                <w:u w:val="single"/>
              </w:rPr>
              <w:fldChar w:fldCharType="end"/>
            </w:r>
            <w:r w:rsidRPr="00974778">
              <w:rPr>
                <w:rFonts w:eastAsia="MS Gothic"/>
                <w:u w:val="single"/>
              </w:rPr>
              <w:t xml:space="preserve"> </w:t>
            </w:r>
            <w:proofErr w:type="gramStart"/>
            <w:r w:rsidRPr="00974778">
              <w:rPr>
                <w:spacing w:val="-2"/>
                <w:sz w:val="22"/>
                <w:u w:val="single"/>
              </w:rPr>
              <w:t>intimate</w:t>
            </w:r>
            <w:proofErr w:type="gramEnd"/>
            <w:r w:rsidRPr="00974778">
              <w:rPr>
                <w:spacing w:val="-2"/>
                <w:sz w:val="22"/>
                <w:u w:val="single"/>
              </w:rPr>
              <w:t xml:space="preserve"> partner(s): ________________ (name(s)). (RCW 9A.36.041 and RCW 26.50.010(7)).</w:t>
            </w:r>
          </w:p>
          <w:p w:rsidR="00974778" w:rsidRPr="00A7138F" w:rsidRDefault="00974778" w:rsidP="00A7138F">
            <w:pPr>
              <w:tabs>
                <w:tab w:val="left" w:pos="-720"/>
                <w:tab w:val="left" w:pos="9180"/>
              </w:tabs>
              <w:suppressAutoHyphens/>
              <w:ind w:left="1710" w:hanging="270"/>
              <w:rPr>
                <w:u w:val="single"/>
              </w:rPr>
            </w:pPr>
            <w:r w:rsidRPr="00974778">
              <w:rPr>
                <w:rFonts w:eastAsia="MS Gothic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4778">
              <w:rPr>
                <w:rFonts w:eastAsia="MS Gothic"/>
                <w:u w:val="single"/>
              </w:rPr>
              <w:instrText xml:space="preserve"> FORMCHECKBOX </w:instrText>
            </w:r>
            <w:r w:rsidR="00581574">
              <w:rPr>
                <w:rFonts w:eastAsia="MS Gothic"/>
                <w:u w:val="single"/>
              </w:rPr>
            </w:r>
            <w:r w:rsidR="00581574">
              <w:rPr>
                <w:rFonts w:eastAsia="MS Gothic"/>
                <w:u w:val="single"/>
              </w:rPr>
              <w:fldChar w:fldCharType="separate"/>
            </w:r>
            <w:r w:rsidRPr="00974778">
              <w:rPr>
                <w:rFonts w:eastAsia="MS Gothic"/>
                <w:u w:val="single"/>
              </w:rPr>
              <w:fldChar w:fldCharType="end"/>
            </w:r>
            <w:r w:rsidRPr="00974778">
              <w:rPr>
                <w:spacing w:val="-2"/>
                <w:sz w:val="22"/>
                <w:u w:val="single"/>
              </w:rPr>
              <w:t xml:space="preserve"> </w:t>
            </w:r>
            <w:proofErr w:type="gramStart"/>
            <w:r w:rsidRPr="00974778">
              <w:rPr>
                <w:spacing w:val="-2"/>
                <w:sz w:val="22"/>
                <w:u w:val="single"/>
              </w:rPr>
              <w:t>family</w:t>
            </w:r>
            <w:proofErr w:type="gramEnd"/>
            <w:r w:rsidRPr="00974778">
              <w:rPr>
                <w:spacing w:val="-2"/>
                <w:sz w:val="22"/>
                <w:u w:val="single"/>
              </w:rPr>
              <w:t xml:space="preserve"> or household member(s): _________________ (name(s)). (RCW 26.50.010(6)).</w:t>
            </w:r>
          </w:p>
          <w:p w:rsidR="00974778" w:rsidRPr="00F85FCA" w:rsidRDefault="00974778" w:rsidP="00F85FCA">
            <w:pPr>
              <w:rPr>
                <w:szCs w:val="24"/>
              </w:rPr>
            </w:pPr>
          </w:p>
        </w:tc>
      </w:tr>
    </w:tbl>
    <w:p w:rsidR="00CA41E7" w:rsidRPr="00F85FCA" w:rsidRDefault="00CA41E7">
      <w:pPr>
        <w:rPr>
          <w:szCs w:val="24"/>
        </w:rPr>
      </w:pPr>
    </w:p>
    <w:sectPr w:rsidR="00CA41E7" w:rsidRPr="00F85FC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E7" w:rsidRDefault="00A66E11">
      <w:r>
        <w:separator/>
      </w:r>
    </w:p>
  </w:endnote>
  <w:endnote w:type="continuationSeparator" w:id="0">
    <w:p w:rsidR="00CA41E7" w:rsidRDefault="00A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E7" w:rsidRDefault="00A66E11">
      <w:r>
        <w:separator/>
      </w:r>
    </w:p>
  </w:footnote>
  <w:footnote w:type="continuationSeparator" w:id="0">
    <w:p w:rsidR="00CA41E7" w:rsidRDefault="00A6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41E7" w:rsidRDefault="00CA542A">
        <w:pPr>
          <w:rPr>
            <w:sz w:val="20"/>
            <w:szCs w:val="20"/>
          </w:rPr>
        </w:pPr>
        <w:r>
          <w:rPr>
            <w:sz w:val="20"/>
            <w:szCs w:val="20"/>
          </w:rPr>
          <w:t>Judicial and Legal Community</w:t>
        </w:r>
      </w:p>
      <w:p w:rsidR="00CA41E7" w:rsidRDefault="00CA542A">
        <w:pPr>
          <w:rPr>
            <w:sz w:val="20"/>
            <w:szCs w:val="20"/>
          </w:rPr>
        </w:pPr>
        <w:r>
          <w:rPr>
            <w:sz w:val="20"/>
            <w:szCs w:val="20"/>
          </w:rPr>
          <w:t>July 19</w:t>
        </w:r>
        <w:r w:rsidR="002B0702">
          <w:rPr>
            <w:sz w:val="20"/>
            <w:szCs w:val="20"/>
          </w:rPr>
          <w:t xml:space="preserve"> 2019</w:t>
        </w:r>
      </w:p>
      <w:sdt>
        <w:sdtPr>
          <w:id w:val="19663944"/>
          <w:docPartObj>
            <w:docPartGallery w:val="Page Numbers (Top of Page)"/>
            <w:docPartUnique/>
          </w:docPartObj>
        </w:sdtPr>
        <w:sdtEndPr/>
        <w:sdtContent>
          <w:p w:rsidR="00CA41E7" w:rsidRDefault="00A66E11">
            <w:r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PAGE </w:instrText>
            </w:r>
            <w:r>
              <w:rPr>
                <w:sz w:val="20"/>
                <w:szCs w:val="20"/>
              </w:rPr>
              <w:fldChar w:fldCharType="separate"/>
            </w:r>
            <w:r w:rsidR="00581574">
              <w:rPr>
                <w:noProof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NUMPAGES  </w:instrText>
            </w:r>
            <w:r>
              <w:rPr>
                <w:sz w:val="20"/>
                <w:szCs w:val="20"/>
              </w:rPr>
              <w:fldChar w:fldCharType="separate"/>
            </w:r>
            <w:r w:rsidR="00581574">
              <w:rPr>
                <w:noProof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sdtContent>
      </w:sdt>
      <w:p w:rsidR="00CA41E7" w:rsidRDefault="00581574">
        <w:pPr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1A"/>
    <w:multiLevelType w:val="hybridMultilevel"/>
    <w:tmpl w:val="A86C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0B20"/>
    <w:multiLevelType w:val="hybridMultilevel"/>
    <w:tmpl w:val="E8F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ECB"/>
    <w:multiLevelType w:val="hybridMultilevel"/>
    <w:tmpl w:val="A95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2C54"/>
    <w:multiLevelType w:val="hybridMultilevel"/>
    <w:tmpl w:val="8C9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1BD8"/>
    <w:multiLevelType w:val="hybridMultilevel"/>
    <w:tmpl w:val="BD30855A"/>
    <w:lvl w:ilvl="0" w:tplc="89C02A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680F"/>
    <w:multiLevelType w:val="hybridMultilevel"/>
    <w:tmpl w:val="727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74BA"/>
    <w:multiLevelType w:val="hybridMultilevel"/>
    <w:tmpl w:val="8CFA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AAE"/>
    <w:multiLevelType w:val="hybridMultilevel"/>
    <w:tmpl w:val="31C81C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522B10AA"/>
    <w:multiLevelType w:val="hybridMultilevel"/>
    <w:tmpl w:val="1B7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227C"/>
    <w:multiLevelType w:val="hybridMultilevel"/>
    <w:tmpl w:val="5AAE40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9D0CE5"/>
    <w:multiLevelType w:val="hybridMultilevel"/>
    <w:tmpl w:val="A1A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23ED"/>
    <w:multiLevelType w:val="hybridMultilevel"/>
    <w:tmpl w:val="4860D8F2"/>
    <w:lvl w:ilvl="0" w:tplc="0818D34A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A5515"/>
    <w:multiLevelType w:val="hybridMultilevel"/>
    <w:tmpl w:val="93C2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2FAA"/>
    <w:multiLevelType w:val="hybridMultilevel"/>
    <w:tmpl w:val="FDB8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E7"/>
    <w:rsid w:val="00121702"/>
    <w:rsid w:val="001834C6"/>
    <w:rsid w:val="0026604B"/>
    <w:rsid w:val="00271746"/>
    <w:rsid w:val="002B0702"/>
    <w:rsid w:val="00302DBD"/>
    <w:rsid w:val="004064DA"/>
    <w:rsid w:val="00530EFE"/>
    <w:rsid w:val="00570EA1"/>
    <w:rsid w:val="00576421"/>
    <w:rsid w:val="00581574"/>
    <w:rsid w:val="005C0AE8"/>
    <w:rsid w:val="005D6ECF"/>
    <w:rsid w:val="00652E80"/>
    <w:rsid w:val="00677C75"/>
    <w:rsid w:val="00695239"/>
    <w:rsid w:val="00743088"/>
    <w:rsid w:val="00764E77"/>
    <w:rsid w:val="00791115"/>
    <w:rsid w:val="007C041B"/>
    <w:rsid w:val="00833F1A"/>
    <w:rsid w:val="00890624"/>
    <w:rsid w:val="008D0442"/>
    <w:rsid w:val="00966A31"/>
    <w:rsid w:val="00974778"/>
    <w:rsid w:val="00994A5D"/>
    <w:rsid w:val="009B7A88"/>
    <w:rsid w:val="00A66E11"/>
    <w:rsid w:val="00A7138F"/>
    <w:rsid w:val="00AD4C4D"/>
    <w:rsid w:val="00B222E5"/>
    <w:rsid w:val="00B54D64"/>
    <w:rsid w:val="00C27CBE"/>
    <w:rsid w:val="00CA41E7"/>
    <w:rsid w:val="00CA542A"/>
    <w:rsid w:val="00CF49ED"/>
    <w:rsid w:val="00D06A2B"/>
    <w:rsid w:val="00D10250"/>
    <w:rsid w:val="00D26A4C"/>
    <w:rsid w:val="00EC6B82"/>
    <w:rsid w:val="00F55A06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 w:cs="Times New Roman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0E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2019-06-14T15:23:00Z</dcterms:created>
  <dcterms:modified xsi:type="dcterms:W3CDTF">2019-07-19T22:02:00Z</dcterms:modified>
</cp:coreProperties>
</file>